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contextualSpacing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学校对在校结核病患者治疗服药记录表</w:t>
      </w:r>
    </w:p>
    <w:tbl>
      <w:tblPr>
        <w:tblStyle w:val="3"/>
        <w:tblW w:w="149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5"/>
        <w:gridCol w:w="2318"/>
        <w:gridCol w:w="2777"/>
        <w:gridCol w:w="632"/>
        <w:gridCol w:w="2624"/>
        <w:gridCol w:w="632"/>
        <w:gridCol w:w="1551"/>
        <w:gridCol w:w="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患者姓名: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 xml:space="preserve">   班级(院系):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 xml:space="preserve">  电话: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 xml:space="preserve">    监督人: 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 xml:space="preserve">  电话: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735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治疗方案:</w:t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开始日期: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结束日期: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督导次数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督导日期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服药时间</w:t>
            </w:r>
          </w:p>
        </w:tc>
        <w:tc>
          <w:tcPr>
            <w:tcW w:w="898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不良反应</w:t>
            </w: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记录人签字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胃肠道反应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皮肤反应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发热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末梢神经反应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(如恶心\呕吐等)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(皮疹\瘙痒\皮炎等)</w:t>
            </w: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  <w:t>(手足麻木\抽搐等)</w:t>
            </w: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90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说明: 1．本表有负责学校结核病管理的校医或班主任等人员记录。</w:t>
            </w:r>
          </w:p>
          <w:p>
            <w:pPr>
              <w:widowControl/>
              <w:spacing w:line="280" w:lineRule="exact"/>
              <w:jc w:val="left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 xml:space="preserve">      2．本表用于在校的患结核病学生或教职工治疗服药的记录。</w:t>
            </w:r>
          </w:p>
          <w:p>
            <w:pPr>
              <w:spacing w:line="280" w:lineRule="exact"/>
              <w:jc w:val="left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 xml:space="preserve">      3．本表根据要求进行记录、保存，以备查。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71"/>
    <w:rsid w:val="007F3D71"/>
    <w:rsid w:val="00B82D76"/>
    <w:rsid w:val="176A3557"/>
    <w:rsid w:val="4C3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2018-09-28T08:34:00Z</dcterms:created>
  <dc:creator>admin</dc:creator>
  <cp:lastModifiedBy>123</cp:lastModifiedBy>
  <dcterms:modified xsi:type="dcterms:W3CDTF">2018-10-29T02:54:08Z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